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FFFA" w14:textId="673EF6A6" w:rsidR="00876A96" w:rsidRPr="00811E7E" w:rsidRDefault="00EE3F6F" w:rsidP="005276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7E">
        <w:rPr>
          <w:rFonts w:ascii="Times New Roman" w:hAnsi="Times New Roman" w:cs="Times New Roman"/>
          <w:b/>
          <w:sz w:val="28"/>
          <w:szCs w:val="28"/>
        </w:rPr>
        <w:t>A</w:t>
      </w:r>
      <w:r w:rsidR="004E6726">
        <w:rPr>
          <w:rFonts w:ascii="Times New Roman" w:hAnsi="Times New Roman" w:cs="Times New Roman"/>
          <w:b/>
          <w:sz w:val="28"/>
          <w:szCs w:val="28"/>
        </w:rPr>
        <w:t>C80</w:t>
      </w:r>
      <w:r w:rsidRPr="0081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8">
        <w:rPr>
          <w:rFonts w:ascii="Times New Roman" w:hAnsi="Times New Roman" w:cs="Times New Roman"/>
          <w:b/>
          <w:sz w:val="28"/>
          <w:szCs w:val="28"/>
        </w:rPr>
        <w:t>Faculty</w:t>
      </w:r>
      <w:r w:rsidR="00EA6894" w:rsidRPr="00811E7E">
        <w:rPr>
          <w:rFonts w:ascii="Times New Roman" w:hAnsi="Times New Roman" w:cs="Times New Roman"/>
          <w:b/>
          <w:sz w:val="28"/>
          <w:szCs w:val="28"/>
        </w:rPr>
        <w:t xml:space="preserve"> Outside Professional Activities </w:t>
      </w:r>
      <w:r w:rsidR="007E2AD4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EA6894" w:rsidRPr="00811E7E">
        <w:rPr>
          <w:rFonts w:ascii="Times New Roman" w:hAnsi="Times New Roman" w:cs="Times New Roman"/>
          <w:b/>
          <w:sz w:val="28"/>
          <w:szCs w:val="28"/>
        </w:rPr>
        <w:t>Conflict of Commitment</w:t>
      </w:r>
    </w:p>
    <w:p w14:paraId="568E1FF7" w14:textId="72F95B50" w:rsidR="009D04A6" w:rsidRPr="00811E7E" w:rsidRDefault="00EE3F6F" w:rsidP="005276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7E">
        <w:rPr>
          <w:rFonts w:ascii="Times New Roman" w:hAnsi="Times New Roman" w:cs="Times New Roman"/>
          <w:b/>
          <w:sz w:val="28"/>
          <w:szCs w:val="28"/>
        </w:rPr>
        <w:t xml:space="preserve">College of </w:t>
      </w:r>
      <w:r w:rsidR="005D3224" w:rsidRPr="00811E7E">
        <w:rPr>
          <w:rFonts w:ascii="Times New Roman" w:hAnsi="Times New Roman" w:cs="Times New Roman"/>
          <w:b/>
          <w:sz w:val="28"/>
          <w:szCs w:val="28"/>
        </w:rPr>
        <w:t>Arts &amp; Architecture</w:t>
      </w:r>
      <w:r w:rsidR="00DC4711" w:rsidRPr="0081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E7E">
        <w:rPr>
          <w:rFonts w:ascii="Times New Roman" w:hAnsi="Times New Roman" w:cs="Times New Roman"/>
          <w:b/>
          <w:sz w:val="28"/>
          <w:szCs w:val="28"/>
        </w:rPr>
        <w:t>Guidelines</w:t>
      </w:r>
    </w:p>
    <w:p w14:paraId="6A6FA5B4" w14:textId="4C147E99" w:rsidR="00EE3F6F" w:rsidRPr="00811E7E" w:rsidRDefault="00EE3F6F" w:rsidP="00EE3F6F">
      <w:pPr>
        <w:pStyle w:val="NoSpacing"/>
        <w:rPr>
          <w:rFonts w:ascii="Times New Roman" w:hAnsi="Times New Roman" w:cs="Times New Roman"/>
        </w:rPr>
      </w:pPr>
    </w:p>
    <w:p w14:paraId="6C0D4D58" w14:textId="6EF1F994" w:rsidR="005276E0" w:rsidRPr="00811E7E" w:rsidRDefault="005276E0" w:rsidP="00EE3F6F">
      <w:pPr>
        <w:pStyle w:val="NoSpacing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The A</w:t>
      </w:r>
      <w:r w:rsidR="006A63E7">
        <w:rPr>
          <w:rFonts w:ascii="Times New Roman" w:hAnsi="Times New Roman" w:cs="Times New Roman"/>
        </w:rPr>
        <w:t>C80</w:t>
      </w:r>
      <w:r w:rsidRPr="00811E7E">
        <w:rPr>
          <w:rFonts w:ascii="Times New Roman" w:hAnsi="Times New Roman" w:cs="Times New Roman"/>
        </w:rPr>
        <w:t xml:space="preserve"> policy addresses conflict of commitment in the professional activities of </w:t>
      </w:r>
      <w:r w:rsidR="005E36D0">
        <w:rPr>
          <w:rFonts w:ascii="Times New Roman" w:hAnsi="Times New Roman" w:cs="Times New Roman"/>
        </w:rPr>
        <w:t>faculty</w:t>
      </w:r>
      <w:r w:rsidRPr="00811E7E">
        <w:rPr>
          <w:rFonts w:ascii="Times New Roman" w:hAnsi="Times New Roman" w:cs="Times New Roman"/>
        </w:rPr>
        <w:t xml:space="preserve">. </w:t>
      </w:r>
      <w:r w:rsidR="00AB15C6" w:rsidRPr="00811E7E">
        <w:rPr>
          <w:rFonts w:ascii="Times New Roman" w:hAnsi="Times New Roman" w:cs="Times New Roman"/>
        </w:rPr>
        <w:t xml:space="preserve">A potential conflict of commitment occurs when external relationships or activities interfere with the </w:t>
      </w:r>
      <w:r w:rsidR="005E36D0">
        <w:rPr>
          <w:rFonts w:ascii="Times New Roman" w:hAnsi="Times New Roman" w:cs="Times New Roman"/>
        </w:rPr>
        <w:t>faculty</w:t>
      </w:r>
      <w:r w:rsidR="00AB15C6" w:rsidRPr="00811E7E">
        <w:rPr>
          <w:rFonts w:ascii="Times New Roman" w:hAnsi="Times New Roman" w:cs="Times New Roman"/>
        </w:rPr>
        <w:t>’</w:t>
      </w:r>
      <w:r w:rsidR="000008A9">
        <w:rPr>
          <w:rFonts w:ascii="Times New Roman" w:hAnsi="Times New Roman" w:cs="Times New Roman"/>
        </w:rPr>
        <w:t>s</w:t>
      </w:r>
      <w:r w:rsidR="00AB15C6" w:rsidRPr="00811E7E">
        <w:rPr>
          <w:rFonts w:ascii="Times New Roman" w:hAnsi="Times New Roman" w:cs="Times New Roman"/>
        </w:rPr>
        <w:t xml:space="preserve"> primary professional obligation and commitment to the University. </w:t>
      </w:r>
      <w:r w:rsidRPr="00811E7E">
        <w:rPr>
          <w:rFonts w:ascii="Times New Roman" w:hAnsi="Times New Roman" w:cs="Times New Roman"/>
        </w:rPr>
        <w:t>Most of the policy integrates existing policy on outside business activities and private consulting (AC80), use of university resources (FN14)</w:t>
      </w:r>
      <w:r w:rsidR="002421CD">
        <w:rPr>
          <w:rFonts w:ascii="Times New Roman" w:hAnsi="Times New Roman" w:cs="Times New Roman"/>
        </w:rPr>
        <w:t>,</w:t>
      </w:r>
      <w:r w:rsidRPr="00811E7E">
        <w:rPr>
          <w:rFonts w:ascii="Times New Roman" w:hAnsi="Times New Roman" w:cs="Times New Roman"/>
        </w:rPr>
        <w:t xml:space="preserve"> and disclosure of significant financial interests (RP06). </w:t>
      </w:r>
      <w:r w:rsidR="00AB15C6" w:rsidRPr="00811E7E">
        <w:rPr>
          <w:rFonts w:ascii="Times New Roman" w:hAnsi="Times New Roman" w:cs="Times New Roman"/>
        </w:rPr>
        <w:t xml:space="preserve">The policy also addresses teaching outside the University.  </w:t>
      </w:r>
      <w:r w:rsidRPr="00811E7E">
        <w:rPr>
          <w:rFonts w:ascii="Times New Roman" w:hAnsi="Times New Roman" w:cs="Times New Roman"/>
        </w:rPr>
        <w:t xml:space="preserve">  </w:t>
      </w:r>
    </w:p>
    <w:p w14:paraId="7168F5A8" w14:textId="77777777" w:rsidR="005276E0" w:rsidRPr="00811E7E" w:rsidRDefault="005276E0" w:rsidP="00EE3F6F">
      <w:pPr>
        <w:pStyle w:val="NoSpacing"/>
        <w:rPr>
          <w:rFonts w:ascii="Times New Roman" w:hAnsi="Times New Roman" w:cs="Times New Roman"/>
        </w:rPr>
      </w:pPr>
    </w:p>
    <w:p w14:paraId="686FF95F" w14:textId="3F3ECB34" w:rsidR="00876A96" w:rsidRPr="00811E7E" w:rsidRDefault="00876A96" w:rsidP="00876A96">
      <w:pPr>
        <w:pStyle w:val="NoSpacing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 xml:space="preserve">It is the </w:t>
      </w:r>
      <w:r w:rsidRPr="00811E7E">
        <w:rPr>
          <w:rFonts w:ascii="Times New Roman" w:hAnsi="Times New Roman" w:cs="Times New Roman"/>
          <w:b/>
        </w:rPr>
        <w:t xml:space="preserve">responsibility of the </w:t>
      </w:r>
      <w:r w:rsidR="00A3782E">
        <w:rPr>
          <w:rFonts w:ascii="Times New Roman" w:hAnsi="Times New Roman" w:cs="Times New Roman"/>
          <w:b/>
        </w:rPr>
        <w:t>faculty</w:t>
      </w:r>
      <w:r w:rsidRPr="00811E7E">
        <w:rPr>
          <w:rFonts w:ascii="Times New Roman" w:hAnsi="Times New Roman" w:cs="Times New Roman"/>
        </w:rPr>
        <w:t xml:space="preserve"> to bring to the budget administrator’s (school director/department head</w:t>
      </w:r>
      <w:r w:rsidR="003F1B64">
        <w:rPr>
          <w:rFonts w:ascii="Times New Roman" w:hAnsi="Times New Roman" w:cs="Times New Roman"/>
        </w:rPr>
        <w:t>, and supervisor</w:t>
      </w:r>
      <w:r w:rsidRPr="00811E7E">
        <w:rPr>
          <w:rFonts w:ascii="Times New Roman" w:hAnsi="Times New Roman" w:cs="Times New Roman"/>
        </w:rPr>
        <w:t>) attention the possibility of a potential conflict of commitment. The budget administrator must work with faculty and staff members to identify, manage, or eliminate potential conflicts.</w:t>
      </w:r>
    </w:p>
    <w:p w14:paraId="6501853D" w14:textId="2ABEAA73" w:rsidR="00A228BE" w:rsidRPr="00811E7E" w:rsidRDefault="00A228BE" w:rsidP="00EE3F6F">
      <w:pPr>
        <w:pStyle w:val="NoSpacing"/>
        <w:rPr>
          <w:rFonts w:ascii="Times New Roman" w:hAnsi="Times New Roman" w:cs="Times New Roman"/>
        </w:rPr>
      </w:pPr>
    </w:p>
    <w:p w14:paraId="64C605E4" w14:textId="10DFC5DE" w:rsidR="0059249F" w:rsidRPr="00811E7E" w:rsidRDefault="004555F4" w:rsidP="00EE3F6F">
      <w:pPr>
        <w:pStyle w:val="NoSpacing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 xml:space="preserve">To avoid having to check with the </w:t>
      </w:r>
      <w:r w:rsidR="001E1F7F" w:rsidRPr="00811E7E">
        <w:rPr>
          <w:rFonts w:ascii="Times New Roman" w:hAnsi="Times New Roman" w:cs="Times New Roman"/>
        </w:rPr>
        <w:t xml:space="preserve">college </w:t>
      </w:r>
      <w:r w:rsidRPr="00811E7E">
        <w:rPr>
          <w:rFonts w:ascii="Times New Roman" w:hAnsi="Times New Roman" w:cs="Times New Roman"/>
        </w:rPr>
        <w:t xml:space="preserve">administration on every possible external teaching activity, the </w:t>
      </w:r>
      <w:r w:rsidR="008D3FB4">
        <w:rPr>
          <w:rFonts w:ascii="Times New Roman" w:hAnsi="Times New Roman" w:cs="Times New Roman"/>
        </w:rPr>
        <w:t>Arts and Architecture</w:t>
      </w:r>
      <w:r w:rsidR="00881CC9">
        <w:rPr>
          <w:rFonts w:ascii="Times New Roman" w:hAnsi="Times New Roman" w:cs="Times New Roman"/>
        </w:rPr>
        <w:t xml:space="preserve"> </w:t>
      </w:r>
      <w:r w:rsidRPr="00811E7E">
        <w:rPr>
          <w:rFonts w:ascii="Times New Roman" w:hAnsi="Times New Roman" w:cs="Times New Roman"/>
        </w:rPr>
        <w:t>Leadership C</w:t>
      </w:r>
      <w:r w:rsidR="00F35A85">
        <w:rPr>
          <w:rFonts w:ascii="Times New Roman" w:hAnsi="Times New Roman" w:cs="Times New Roman"/>
        </w:rPr>
        <w:t>ollaborative</w:t>
      </w:r>
      <w:r w:rsidRPr="00811E7E">
        <w:rPr>
          <w:rFonts w:ascii="Times New Roman" w:hAnsi="Times New Roman" w:cs="Times New Roman"/>
        </w:rPr>
        <w:t xml:space="preserve"> has established the following guidelines to help </w:t>
      </w:r>
      <w:r w:rsidR="00F35A85">
        <w:rPr>
          <w:rFonts w:ascii="Times New Roman" w:hAnsi="Times New Roman" w:cs="Times New Roman"/>
        </w:rPr>
        <w:t>faculty</w:t>
      </w:r>
      <w:r w:rsidR="003D502A" w:rsidRPr="00811E7E">
        <w:rPr>
          <w:rFonts w:ascii="Times New Roman" w:hAnsi="Times New Roman" w:cs="Times New Roman"/>
        </w:rPr>
        <w:t xml:space="preserve"> </w:t>
      </w:r>
      <w:r w:rsidRPr="00811E7E">
        <w:rPr>
          <w:rFonts w:ascii="Times New Roman" w:hAnsi="Times New Roman" w:cs="Times New Roman"/>
        </w:rPr>
        <w:t xml:space="preserve">decide when </w:t>
      </w:r>
      <w:r w:rsidR="003D502A">
        <w:rPr>
          <w:rFonts w:ascii="Times New Roman" w:hAnsi="Times New Roman" w:cs="Times New Roman"/>
        </w:rPr>
        <w:t>they</w:t>
      </w:r>
      <w:r w:rsidR="003D502A" w:rsidRPr="00811E7E">
        <w:rPr>
          <w:rFonts w:ascii="Times New Roman" w:hAnsi="Times New Roman" w:cs="Times New Roman"/>
        </w:rPr>
        <w:t xml:space="preserve"> </w:t>
      </w:r>
      <w:r w:rsidRPr="00811E7E">
        <w:rPr>
          <w:rFonts w:ascii="Times New Roman" w:hAnsi="Times New Roman" w:cs="Times New Roman"/>
        </w:rPr>
        <w:t xml:space="preserve">need to ask </w:t>
      </w:r>
      <w:r w:rsidR="00D95046">
        <w:rPr>
          <w:rFonts w:ascii="Times New Roman" w:hAnsi="Times New Roman" w:cs="Times New Roman"/>
        </w:rPr>
        <w:t xml:space="preserve">for </w:t>
      </w:r>
      <w:r w:rsidRPr="00811E7E">
        <w:rPr>
          <w:rFonts w:ascii="Times New Roman" w:hAnsi="Times New Roman" w:cs="Times New Roman"/>
        </w:rPr>
        <w:t>pr</w:t>
      </w:r>
      <w:r w:rsidR="00D95046">
        <w:rPr>
          <w:rFonts w:ascii="Times New Roman" w:hAnsi="Times New Roman" w:cs="Times New Roman"/>
        </w:rPr>
        <w:t>e-</w:t>
      </w:r>
      <w:r w:rsidRPr="00811E7E">
        <w:rPr>
          <w:rFonts w:ascii="Times New Roman" w:hAnsi="Times New Roman" w:cs="Times New Roman"/>
        </w:rPr>
        <w:t xml:space="preserve">approval.   </w:t>
      </w:r>
    </w:p>
    <w:p w14:paraId="488FF8CB" w14:textId="77777777" w:rsidR="0059249F" w:rsidRPr="00811E7E" w:rsidRDefault="0059249F" w:rsidP="004405E0">
      <w:pPr>
        <w:pStyle w:val="NoSpacing"/>
        <w:ind w:left="720"/>
        <w:rPr>
          <w:rFonts w:ascii="Times New Roman" w:hAnsi="Times New Roman" w:cs="Times New Roman"/>
        </w:rPr>
      </w:pPr>
    </w:p>
    <w:p w14:paraId="233ECC52" w14:textId="3F742B82" w:rsidR="00B1030F" w:rsidRPr="00811E7E" w:rsidRDefault="00553F48" w:rsidP="002316BD">
      <w:pPr>
        <w:pStyle w:val="NoSpacing"/>
        <w:ind w:left="720"/>
        <w:rPr>
          <w:rFonts w:ascii="Times New Roman" w:hAnsi="Times New Roman" w:cs="Times New Roman"/>
          <w:i/>
          <w:u w:val="single"/>
        </w:rPr>
      </w:pPr>
      <w:r w:rsidRPr="00811E7E">
        <w:rPr>
          <w:rFonts w:ascii="Times New Roman" w:hAnsi="Times New Roman" w:cs="Times New Roman"/>
          <w:i/>
          <w:u w:val="single"/>
        </w:rPr>
        <w:t>The following do</w:t>
      </w:r>
      <w:r w:rsidR="00B1030F" w:rsidRPr="00811E7E">
        <w:rPr>
          <w:rFonts w:ascii="Times New Roman" w:hAnsi="Times New Roman" w:cs="Times New Roman"/>
          <w:i/>
          <w:u w:val="single"/>
        </w:rPr>
        <w:t xml:space="preserve"> not require pre-approval</w:t>
      </w:r>
      <w:r w:rsidR="002E497E" w:rsidRPr="00811E7E">
        <w:rPr>
          <w:rFonts w:ascii="Times New Roman" w:hAnsi="Times New Roman" w:cs="Times New Roman"/>
          <w:i/>
          <w:u w:val="single"/>
        </w:rPr>
        <w:t xml:space="preserve"> by the Budget Administrator </w:t>
      </w:r>
      <w:r w:rsidR="005D3224" w:rsidRPr="00811E7E">
        <w:rPr>
          <w:rFonts w:ascii="Times New Roman" w:hAnsi="Times New Roman" w:cs="Times New Roman"/>
          <w:i/>
          <w:u w:val="single"/>
        </w:rPr>
        <w:t>(School Director</w:t>
      </w:r>
      <w:r w:rsidRPr="00811E7E">
        <w:rPr>
          <w:rFonts w:ascii="Times New Roman" w:hAnsi="Times New Roman" w:cs="Times New Roman"/>
          <w:i/>
          <w:u w:val="single"/>
        </w:rPr>
        <w:t xml:space="preserve"> or </w:t>
      </w:r>
      <w:r w:rsidR="00D95046">
        <w:rPr>
          <w:rFonts w:ascii="Times New Roman" w:hAnsi="Times New Roman" w:cs="Times New Roman"/>
          <w:i/>
          <w:u w:val="single"/>
        </w:rPr>
        <w:t>Department</w:t>
      </w:r>
      <w:r w:rsidR="00D95046" w:rsidRPr="00811E7E">
        <w:rPr>
          <w:rFonts w:ascii="Times New Roman" w:hAnsi="Times New Roman" w:cs="Times New Roman"/>
          <w:i/>
          <w:u w:val="single"/>
        </w:rPr>
        <w:t xml:space="preserve"> </w:t>
      </w:r>
      <w:r w:rsidR="005D3224" w:rsidRPr="00811E7E">
        <w:rPr>
          <w:rFonts w:ascii="Times New Roman" w:hAnsi="Times New Roman" w:cs="Times New Roman"/>
          <w:i/>
          <w:u w:val="single"/>
        </w:rPr>
        <w:t xml:space="preserve">Head) </w:t>
      </w:r>
      <w:r w:rsidR="002E497E" w:rsidRPr="00811E7E">
        <w:rPr>
          <w:rFonts w:ascii="Times New Roman" w:hAnsi="Times New Roman" w:cs="Times New Roman"/>
          <w:i/>
          <w:u w:val="single"/>
        </w:rPr>
        <w:t>and Budget Executive</w:t>
      </w:r>
      <w:r w:rsidR="005D3224" w:rsidRPr="00811E7E">
        <w:rPr>
          <w:rFonts w:ascii="Times New Roman" w:hAnsi="Times New Roman" w:cs="Times New Roman"/>
          <w:i/>
          <w:u w:val="single"/>
        </w:rPr>
        <w:t xml:space="preserve"> (Dean)</w:t>
      </w:r>
      <w:r w:rsidR="00B1030F" w:rsidRPr="00811E7E">
        <w:rPr>
          <w:rFonts w:ascii="Times New Roman" w:hAnsi="Times New Roman" w:cs="Times New Roman"/>
          <w:i/>
          <w:u w:val="single"/>
        </w:rPr>
        <w:t>:</w:t>
      </w:r>
    </w:p>
    <w:p w14:paraId="13F1E053" w14:textId="77777777" w:rsidR="0059387F" w:rsidRPr="00811E7E" w:rsidRDefault="0059387F" w:rsidP="004405E0">
      <w:pPr>
        <w:pStyle w:val="NoSpacing"/>
        <w:ind w:left="720"/>
        <w:rPr>
          <w:rFonts w:ascii="Times New Roman" w:hAnsi="Times New Roman" w:cs="Times New Roman"/>
          <w:i/>
          <w:u w:val="single"/>
        </w:rPr>
      </w:pPr>
    </w:p>
    <w:p w14:paraId="48561E7B" w14:textId="457BCE32" w:rsidR="00B1030F" w:rsidRPr="00811E7E" w:rsidRDefault="00B1030F" w:rsidP="004405E0">
      <w:pPr>
        <w:pStyle w:val="NoSpacing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Occasional guest lectures and seminars</w:t>
      </w:r>
      <w:r w:rsidR="00BC5334" w:rsidRPr="00811E7E">
        <w:rPr>
          <w:rFonts w:ascii="Times New Roman" w:hAnsi="Times New Roman" w:cs="Times New Roman"/>
        </w:rPr>
        <w:t xml:space="preserve"> at another institution.</w:t>
      </w:r>
    </w:p>
    <w:p w14:paraId="243B9D48" w14:textId="7ACBDF0F" w:rsidR="00BC5334" w:rsidRPr="00811E7E" w:rsidRDefault="00BC5334" w:rsidP="004405E0">
      <w:pPr>
        <w:pStyle w:val="NoSpacing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 xml:space="preserve">Serving on </w:t>
      </w:r>
      <w:r w:rsidR="00AB15C6" w:rsidRPr="00811E7E">
        <w:rPr>
          <w:rFonts w:ascii="Times New Roman" w:hAnsi="Times New Roman" w:cs="Times New Roman"/>
        </w:rPr>
        <w:t>d</w:t>
      </w:r>
      <w:r w:rsidRPr="00811E7E">
        <w:rPr>
          <w:rFonts w:ascii="Times New Roman" w:hAnsi="Times New Roman" w:cs="Times New Roman"/>
        </w:rPr>
        <w:t xml:space="preserve">octoral or </w:t>
      </w:r>
      <w:r w:rsidR="00AB15C6" w:rsidRPr="00811E7E">
        <w:rPr>
          <w:rFonts w:ascii="Times New Roman" w:hAnsi="Times New Roman" w:cs="Times New Roman"/>
        </w:rPr>
        <w:t>m</w:t>
      </w:r>
      <w:r w:rsidRPr="00811E7E">
        <w:rPr>
          <w:rFonts w:ascii="Times New Roman" w:hAnsi="Times New Roman" w:cs="Times New Roman"/>
        </w:rPr>
        <w:t>aster’s committee at another institution, when any compensation is only for travel expenses and perhaps a small honorarium (</w:t>
      </w:r>
      <w:r w:rsidR="00443941" w:rsidRPr="00811E7E">
        <w:rPr>
          <w:rFonts w:ascii="Times New Roman" w:hAnsi="Times New Roman" w:cs="Times New Roman"/>
        </w:rPr>
        <w:t xml:space="preserve">e.g., </w:t>
      </w:r>
      <w:r w:rsidRPr="00811E7E">
        <w:rPr>
          <w:rFonts w:ascii="Times New Roman" w:hAnsi="Times New Roman" w:cs="Times New Roman"/>
        </w:rPr>
        <w:t>$</w:t>
      </w:r>
      <w:r w:rsidR="001E1F7F" w:rsidRPr="00811E7E">
        <w:rPr>
          <w:rFonts w:ascii="Times New Roman" w:hAnsi="Times New Roman" w:cs="Times New Roman"/>
        </w:rPr>
        <w:t>2</w:t>
      </w:r>
      <w:r w:rsidRPr="00811E7E">
        <w:rPr>
          <w:rFonts w:ascii="Times New Roman" w:hAnsi="Times New Roman" w:cs="Times New Roman"/>
        </w:rPr>
        <w:t>,</w:t>
      </w:r>
      <w:r w:rsidR="001E1F7F" w:rsidRPr="00811E7E">
        <w:rPr>
          <w:rFonts w:ascii="Times New Roman" w:hAnsi="Times New Roman" w:cs="Times New Roman"/>
        </w:rPr>
        <w:t>5</w:t>
      </w:r>
      <w:r w:rsidRPr="00811E7E">
        <w:rPr>
          <w:rFonts w:ascii="Times New Roman" w:hAnsi="Times New Roman" w:cs="Times New Roman"/>
        </w:rPr>
        <w:t>00 or less.</w:t>
      </w:r>
      <w:r w:rsidR="00AB15C6" w:rsidRPr="00811E7E">
        <w:rPr>
          <w:rFonts w:ascii="Times New Roman" w:hAnsi="Times New Roman" w:cs="Times New Roman"/>
        </w:rPr>
        <w:t>)</w:t>
      </w:r>
    </w:p>
    <w:p w14:paraId="7D4C2743" w14:textId="32EF09DC" w:rsidR="00BC5334" w:rsidRPr="00811E7E" w:rsidRDefault="00BC5334" w:rsidP="004405E0">
      <w:pPr>
        <w:pStyle w:val="NoSpacing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 xml:space="preserve">Outside teaching that is not for academic credit, including professional </w:t>
      </w:r>
      <w:r w:rsidR="00AB15C6" w:rsidRPr="00811E7E">
        <w:rPr>
          <w:rFonts w:ascii="Times New Roman" w:hAnsi="Times New Roman" w:cs="Times New Roman"/>
        </w:rPr>
        <w:t xml:space="preserve">education courses for </w:t>
      </w:r>
      <w:r w:rsidRPr="00811E7E">
        <w:rPr>
          <w:rFonts w:ascii="Times New Roman" w:hAnsi="Times New Roman" w:cs="Times New Roman"/>
        </w:rPr>
        <w:t>licensing, etc.</w:t>
      </w:r>
    </w:p>
    <w:p w14:paraId="0C99BC84" w14:textId="1759F9B1" w:rsidR="00BC5334" w:rsidRPr="00811E7E" w:rsidRDefault="00BC5334" w:rsidP="004405E0">
      <w:pPr>
        <w:pStyle w:val="NoSpacing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Outside teaching</w:t>
      </w:r>
      <w:r w:rsidR="00481B37" w:rsidRPr="00811E7E">
        <w:rPr>
          <w:rFonts w:ascii="Times New Roman" w:hAnsi="Times New Roman" w:cs="Times New Roman"/>
        </w:rPr>
        <w:t xml:space="preserve"> </w:t>
      </w:r>
      <w:r w:rsidRPr="00811E7E">
        <w:rPr>
          <w:rFonts w:ascii="Times New Roman" w:hAnsi="Times New Roman" w:cs="Times New Roman"/>
        </w:rPr>
        <w:t>that is not in the general area of expertise of your appointment at Penn State.</w:t>
      </w:r>
    </w:p>
    <w:p w14:paraId="62304C84" w14:textId="53CE50C9" w:rsidR="00BC5334" w:rsidRPr="00811E7E" w:rsidRDefault="00BC5334" w:rsidP="004405E0">
      <w:pPr>
        <w:pStyle w:val="NoSpacing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 xml:space="preserve">Outside teaching by </w:t>
      </w:r>
      <w:r w:rsidR="00553F48" w:rsidRPr="00811E7E">
        <w:rPr>
          <w:rFonts w:ascii="Times New Roman" w:hAnsi="Times New Roman" w:cs="Times New Roman"/>
        </w:rPr>
        <w:t xml:space="preserve">FT-2 </w:t>
      </w:r>
      <w:r w:rsidR="00811E7E">
        <w:rPr>
          <w:rFonts w:ascii="Times New Roman" w:hAnsi="Times New Roman" w:cs="Times New Roman"/>
        </w:rPr>
        <w:t xml:space="preserve">(part-time) </w:t>
      </w:r>
      <w:r w:rsidR="00553F48" w:rsidRPr="00811E7E">
        <w:rPr>
          <w:rFonts w:ascii="Times New Roman" w:hAnsi="Times New Roman" w:cs="Times New Roman"/>
        </w:rPr>
        <w:t>faculty</w:t>
      </w:r>
      <w:r w:rsidR="00811E7E">
        <w:rPr>
          <w:rFonts w:ascii="Times New Roman" w:hAnsi="Times New Roman" w:cs="Times New Roman"/>
        </w:rPr>
        <w:t xml:space="preserve"> that does not interfere with Penn State assignment</w:t>
      </w:r>
      <w:r w:rsidR="00553F48" w:rsidRPr="00811E7E">
        <w:rPr>
          <w:rFonts w:ascii="Times New Roman" w:hAnsi="Times New Roman" w:cs="Times New Roman"/>
        </w:rPr>
        <w:t>.</w:t>
      </w:r>
    </w:p>
    <w:p w14:paraId="62984B48" w14:textId="45C766DF" w:rsidR="001E1F7F" w:rsidRPr="00811E7E" w:rsidRDefault="00553F48" w:rsidP="00BC5334">
      <w:pPr>
        <w:pStyle w:val="NoSpacing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 xml:space="preserve">Musical and other creative performances and exhibitions. </w:t>
      </w:r>
    </w:p>
    <w:p w14:paraId="3A2DF810" w14:textId="77777777" w:rsidR="001E1F7F" w:rsidRPr="00811E7E" w:rsidRDefault="001E1F7F" w:rsidP="001E1F7F">
      <w:pPr>
        <w:pStyle w:val="NoSpacing"/>
        <w:ind w:left="1440"/>
        <w:rPr>
          <w:rFonts w:ascii="Times New Roman" w:hAnsi="Times New Roman" w:cs="Times New Roman"/>
        </w:rPr>
      </w:pPr>
    </w:p>
    <w:p w14:paraId="4CD8D75E" w14:textId="77777777" w:rsidR="002316BD" w:rsidRPr="00811E7E" w:rsidRDefault="00553F48" w:rsidP="002316BD">
      <w:pPr>
        <w:pStyle w:val="NoSpacing"/>
        <w:ind w:left="36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Other activities may require more time, create the possibility for competition with Penn State offerings</w:t>
      </w:r>
      <w:r w:rsidR="002316BD" w:rsidRPr="00811E7E">
        <w:rPr>
          <w:rFonts w:ascii="Times New Roman" w:hAnsi="Times New Roman" w:cs="Times New Roman"/>
        </w:rPr>
        <w:t xml:space="preserve">, or involve intellectual property ownership, increasing the possibility for a conflict of commitment.  </w:t>
      </w:r>
    </w:p>
    <w:p w14:paraId="45A88E64" w14:textId="77777777" w:rsidR="002316BD" w:rsidRPr="00811E7E" w:rsidRDefault="002316BD" w:rsidP="002316BD">
      <w:pPr>
        <w:pStyle w:val="NoSpacing"/>
        <w:ind w:left="360"/>
        <w:rPr>
          <w:rFonts w:ascii="Times New Roman" w:hAnsi="Times New Roman" w:cs="Times New Roman"/>
          <w:i/>
        </w:rPr>
      </w:pPr>
    </w:p>
    <w:p w14:paraId="63F4DEA4" w14:textId="7653AEB8" w:rsidR="0059387F" w:rsidRPr="00811E7E" w:rsidRDefault="0059387F" w:rsidP="002316BD">
      <w:pPr>
        <w:pStyle w:val="NoSpacing"/>
        <w:ind w:left="720"/>
        <w:rPr>
          <w:rFonts w:ascii="Times New Roman" w:hAnsi="Times New Roman" w:cs="Times New Roman"/>
          <w:u w:val="single"/>
        </w:rPr>
      </w:pPr>
      <w:r w:rsidRPr="00811E7E">
        <w:rPr>
          <w:rFonts w:ascii="Times New Roman" w:hAnsi="Times New Roman" w:cs="Times New Roman"/>
          <w:i/>
          <w:u w:val="single"/>
        </w:rPr>
        <w:t>A</w:t>
      </w:r>
      <w:r w:rsidR="002316BD" w:rsidRPr="00811E7E">
        <w:rPr>
          <w:rFonts w:ascii="Times New Roman" w:hAnsi="Times New Roman" w:cs="Times New Roman"/>
          <w:i/>
          <w:u w:val="single"/>
        </w:rPr>
        <w:t>cademic a</w:t>
      </w:r>
      <w:r w:rsidR="00BC5334" w:rsidRPr="00811E7E">
        <w:rPr>
          <w:rFonts w:ascii="Times New Roman" w:hAnsi="Times New Roman" w:cs="Times New Roman"/>
          <w:i/>
          <w:u w:val="single"/>
        </w:rPr>
        <w:t xml:space="preserve">ctivities </w:t>
      </w:r>
      <w:r w:rsidR="002316BD" w:rsidRPr="00811E7E">
        <w:rPr>
          <w:rFonts w:ascii="Times New Roman" w:hAnsi="Times New Roman" w:cs="Times New Roman"/>
          <w:i/>
          <w:u w:val="single"/>
        </w:rPr>
        <w:t xml:space="preserve">of the following type </w:t>
      </w:r>
      <w:r w:rsidR="00BC5334" w:rsidRPr="00811E7E">
        <w:rPr>
          <w:rFonts w:ascii="Times New Roman" w:hAnsi="Times New Roman" w:cs="Times New Roman"/>
          <w:i/>
          <w:u w:val="single"/>
        </w:rPr>
        <w:t xml:space="preserve">require pre-approval (before </w:t>
      </w:r>
      <w:r w:rsidR="002316BD" w:rsidRPr="00811E7E">
        <w:rPr>
          <w:rFonts w:ascii="Times New Roman" w:hAnsi="Times New Roman" w:cs="Times New Roman"/>
          <w:i/>
          <w:u w:val="single"/>
        </w:rPr>
        <w:t xml:space="preserve">a </w:t>
      </w:r>
      <w:r w:rsidR="00BC5334" w:rsidRPr="00811E7E">
        <w:rPr>
          <w:rFonts w:ascii="Times New Roman" w:hAnsi="Times New Roman" w:cs="Times New Roman"/>
          <w:i/>
          <w:u w:val="single"/>
        </w:rPr>
        <w:t>contract is signed or specific arrangements are made)</w:t>
      </w:r>
      <w:r w:rsidRPr="00811E7E">
        <w:rPr>
          <w:rFonts w:ascii="Times New Roman" w:hAnsi="Times New Roman" w:cs="Times New Roman"/>
          <w:i/>
          <w:u w:val="single"/>
        </w:rPr>
        <w:t xml:space="preserve"> </w:t>
      </w:r>
      <w:r w:rsidR="002316BD" w:rsidRPr="00811E7E">
        <w:rPr>
          <w:rFonts w:ascii="Times New Roman" w:hAnsi="Times New Roman" w:cs="Times New Roman"/>
          <w:i/>
          <w:u w:val="single"/>
        </w:rPr>
        <w:t>from the School Director</w:t>
      </w:r>
      <w:r w:rsidR="00C406ED">
        <w:rPr>
          <w:rFonts w:ascii="Times New Roman" w:hAnsi="Times New Roman" w:cs="Times New Roman"/>
          <w:i/>
          <w:u w:val="single"/>
        </w:rPr>
        <w:t>/Department Head</w:t>
      </w:r>
      <w:r w:rsidR="00DA56F6">
        <w:rPr>
          <w:rFonts w:ascii="Times New Roman" w:hAnsi="Times New Roman" w:cs="Times New Roman"/>
          <w:i/>
          <w:u w:val="single"/>
        </w:rPr>
        <w:t>, supervisor,</w:t>
      </w:r>
      <w:r w:rsidR="002316BD" w:rsidRPr="00811E7E">
        <w:rPr>
          <w:rFonts w:ascii="Times New Roman" w:hAnsi="Times New Roman" w:cs="Times New Roman"/>
          <w:i/>
          <w:u w:val="single"/>
        </w:rPr>
        <w:t xml:space="preserve"> and Dean</w:t>
      </w:r>
      <w:r w:rsidR="00644FD5" w:rsidRPr="00811E7E">
        <w:rPr>
          <w:rFonts w:ascii="Times New Roman" w:hAnsi="Times New Roman" w:cs="Times New Roman"/>
          <w:i/>
          <w:u w:val="single"/>
        </w:rPr>
        <w:t>:</w:t>
      </w:r>
    </w:p>
    <w:p w14:paraId="3AFABD61" w14:textId="525D2D88" w:rsidR="00BC5334" w:rsidRPr="00811E7E" w:rsidRDefault="00BC5334" w:rsidP="00876A96">
      <w:pPr>
        <w:pStyle w:val="NoSpacing"/>
        <w:rPr>
          <w:rFonts w:ascii="Times New Roman" w:hAnsi="Times New Roman" w:cs="Times New Roman"/>
        </w:rPr>
      </w:pPr>
    </w:p>
    <w:p w14:paraId="6493DCAF" w14:textId="2F69E149" w:rsidR="0059387F" w:rsidRPr="00811E7E" w:rsidRDefault="002E497E" w:rsidP="004405E0">
      <w:pPr>
        <w:pStyle w:val="NoSpacing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Teaching or research</w:t>
      </w:r>
      <w:r w:rsidR="00B17935" w:rsidRPr="00811E7E">
        <w:rPr>
          <w:rFonts w:ascii="Times New Roman" w:hAnsi="Times New Roman" w:cs="Times New Roman"/>
        </w:rPr>
        <w:t>/creative activity</w:t>
      </w:r>
      <w:r w:rsidRPr="00811E7E">
        <w:rPr>
          <w:rFonts w:ascii="Times New Roman" w:hAnsi="Times New Roman" w:cs="Times New Roman"/>
        </w:rPr>
        <w:t xml:space="preserve"> appointments (</w:t>
      </w:r>
      <w:r w:rsidR="002316BD" w:rsidRPr="00811E7E">
        <w:rPr>
          <w:rFonts w:ascii="Times New Roman" w:hAnsi="Times New Roman" w:cs="Times New Roman"/>
        </w:rPr>
        <w:t>even short</w:t>
      </w:r>
      <w:r w:rsidRPr="00811E7E">
        <w:rPr>
          <w:rFonts w:ascii="Times New Roman" w:hAnsi="Times New Roman" w:cs="Times New Roman"/>
        </w:rPr>
        <w:t>) that include intellectual property agreement</w:t>
      </w:r>
      <w:r w:rsidR="001E1F7F" w:rsidRPr="00811E7E">
        <w:rPr>
          <w:rFonts w:ascii="Times New Roman" w:hAnsi="Times New Roman" w:cs="Times New Roman"/>
        </w:rPr>
        <w:t>s</w:t>
      </w:r>
      <w:r w:rsidRPr="00811E7E">
        <w:rPr>
          <w:rFonts w:ascii="Times New Roman" w:hAnsi="Times New Roman" w:cs="Times New Roman"/>
        </w:rPr>
        <w:t>;</w:t>
      </w:r>
      <w:r w:rsidR="004555F4" w:rsidRPr="00811E7E">
        <w:rPr>
          <w:rFonts w:ascii="Times New Roman" w:hAnsi="Times New Roman" w:cs="Times New Roman"/>
        </w:rPr>
        <w:t xml:space="preserve"> </w:t>
      </w:r>
    </w:p>
    <w:p w14:paraId="62E35A0C" w14:textId="2BDB7214" w:rsidR="002E497E" w:rsidRPr="00811E7E" w:rsidRDefault="002E497E" w:rsidP="004405E0">
      <w:pPr>
        <w:pStyle w:val="NoSpacing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 xml:space="preserve">Teaching for credit during the academic year at another institution, domestic or international (likely not </w:t>
      </w:r>
      <w:r w:rsidR="004555F4" w:rsidRPr="00811E7E">
        <w:rPr>
          <w:rFonts w:ascii="Times New Roman" w:hAnsi="Times New Roman" w:cs="Times New Roman"/>
        </w:rPr>
        <w:t xml:space="preserve">to </w:t>
      </w:r>
      <w:r w:rsidRPr="00811E7E">
        <w:rPr>
          <w:rFonts w:ascii="Times New Roman" w:hAnsi="Times New Roman" w:cs="Times New Roman"/>
        </w:rPr>
        <w:t>be approved unless on an unpaid leave or it is part of an approved sabbatical plan);</w:t>
      </w:r>
    </w:p>
    <w:p w14:paraId="0D0EE6DD" w14:textId="1D8C6DB5" w:rsidR="002E497E" w:rsidRPr="00811E7E" w:rsidRDefault="002E497E" w:rsidP="004405E0">
      <w:pPr>
        <w:pStyle w:val="NoSpacing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Tenured/tenure-line faculty teaching a summer credit course at another institution;</w:t>
      </w:r>
      <w:r w:rsidR="004555F4" w:rsidRPr="00811E7E">
        <w:rPr>
          <w:rFonts w:ascii="Times New Roman" w:hAnsi="Times New Roman" w:cs="Times New Roman"/>
        </w:rPr>
        <w:t xml:space="preserve"> </w:t>
      </w:r>
    </w:p>
    <w:p w14:paraId="1BEAD884" w14:textId="66B5F3D7" w:rsidR="002E497E" w:rsidRPr="00811E7E" w:rsidRDefault="002E497E" w:rsidP="004405E0">
      <w:pPr>
        <w:pStyle w:val="NoSpacing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 xml:space="preserve">Summer teaching by </w:t>
      </w:r>
      <w:r w:rsidR="004555F4" w:rsidRPr="00811E7E">
        <w:rPr>
          <w:rFonts w:ascii="Times New Roman" w:hAnsi="Times New Roman" w:cs="Times New Roman"/>
        </w:rPr>
        <w:t>teaching</w:t>
      </w:r>
      <w:r w:rsidRPr="00811E7E">
        <w:rPr>
          <w:rFonts w:ascii="Times New Roman" w:hAnsi="Times New Roman" w:cs="Times New Roman"/>
        </w:rPr>
        <w:t xml:space="preserve"> faculty (likely to be approved if it does</w:t>
      </w:r>
      <w:r w:rsidR="00E03458">
        <w:rPr>
          <w:rFonts w:ascii="Times New Roman" w:hAnsi="Times New Roman" w:cs="Times New Roman"/>
        </w:rPr>
        <w:t xml:space="preserve"> not</w:t>
      </w:r>
      <w:r w:rsidRPr="00811E7E">
        <w:rPr>
          <w:rFonts w:ascii="Times New Roman" w:hAnsi="Times New Roman" w:cs="Times New Roman"/>
        </w:rPr>
        <w:t xml:space="preserve"> interfere with teaching obligations at Penn State);</w:t>
      </w:r>
    </w:p>
    <w:p w14:paraId="1BD251FB" w14:textId="77777777" w:rsidR="002E497E" w:rsidRPr="00811E7E" w:rsidRDefault="002E497E" w:rsidP="004405E0">
      <w:pPr>
        <w:pStyle w:val="NoSpacing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lastRenderedPageBreak/>
        <w:t>Chairing Ph.D. committees at another institution, domestic or international;</w:t>
      </w:r>
    </w:p>
    <w:p w14:paraId="1DCB528D" w14:textId="3CD9EEA6" w:rsidR="002E497E" w:rsidRPr="00811E7E" w:rsidRDefault="002E497E" w:rsidP="004405E0">
      <w:pPr>
        <w:pStyle w:val="NoSpacing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Holding a professional appointment at another institution, domestic or international (such as honorary chair</w:t>
      </w:r>
      <w:r w:rsidR="00D91E1A">
        <w:rPr>
          <w:rFonts w:ascii="Times New Roman" w:hAnsi="Times New Roman" w:cs="Times New Roman"/>
        </w:rPr>
        <w:t xml:space="preserve">; </w:t>
      </w:r>
      <w:r w:rsidR="00D91E1A" w:rsidRPr="00811E7E">
        <w:rPr>
          <w:rFonts w:ascii="Times New Roman" w:hAnsi="Times New Roman" w:cs="Times New Roman"/>
        </w:rPr>
        <w:t>likely not to be approved unless on an unpaid leave or it is part of an approved sabbatical plan</w:t>
      </w:r>
      <w:r w:rsidRPr="00811E7E">
        <w:rPr>
          <w:rFonts w:ascii="Times New Roman" w:hAnsi="Times New Roman" w:cs="Times New Roman"/>
        </w:rPr>
        <w:t>);</w:t>
      </w:r>
    </w:p>
    <w:p w14:paraId="6D0BCCB6" w14:textId="3564AAF2" w:rsidR="00A15254" w:rsidRPr="00811E7E" w:rsidRDefault="00A15254" w:rsidP="004405E0">
      <w:pPr>
        <w:pStyle w:val="NoSpacing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More than one-day workshops or short course.</w:t>
      </w:r>
    </w:p>
    <w:p w14:paraId="71FEE871" w14:textId="5B2831C8" w:rsidR="00A71A87" w:rsidRPr="00811E7E" w:rsidRDefault="00A71A87" w:rsidP="00A71A87">
      <w:pPr>
        <w:pStyle w:val="NoSpacing"/>
        <w:rPr>
          <w:rFonts w:ascii="Times New Roman" w:hAnsi="Times New Roman" w:cs="Times New Roman"/>
        </w:rPr>
      </w:pPr>
    </w:p>
    <w:p w14:paraId="417172C0" w14:textId="77777777" w:rsidR="00A71A87" w:rsidRPr="00811E7E" w:rsidRDefault="00A71A87" w:rsidP="004405E0">
      <w:pPr>
        <w:pStyle w:val="NoSpacing"/>
        <w:ind w:left="360"/>
        <w:rPr>
          <w:rFonts w:ascii="Times New Roman" w:hAnsi="Times New Roman" w:cs="Times New Roman"/>
          <w:i/>
        </w:rPr>
      </w:pPr>
      <w:r w:rsidRPr="00811E7E">
        <w:rPr>
          <w:rFonts w:ascii="Times New Roman" w:hAnsi="Times New Roman" w:cs="Times New Roman"/>
          <w:i/>
          <w:u w:val="single"/>
        </w:rPr>
        <w:t>Example of academic activity that will not be approved</w:t>
      </w:r>
      <w:r w:rsidRPr="00811E7E">
        <w:rPr>
          <w:rFonts w:ascii="Times New Roman" w:hAnsi="Times New Roman" w:cs="Times New Roman"/>
          <w:i/>
        </w:rPr>
        <w:t>:</w:t>
      </w:r>
    </w:p>
    <w:p w14:paraId="384BF835" w14:textId="77777777" w:rsidR="00A71A87" w:rsidRPr="00811E7E" w:rsidRDefault="00A71A87" w:rsidP="004405E0">
      <w:pPr>
        <w:pStyle w:val="NoSpacing"/>
        <w:ind w:left="360"/>
        <w:rPr>
          <w:rFonts w:ascii="Times New Roman" w:hAnsi="Times New Roman" w:cs="Times New Roman"/>
        </w:rPr>
      </w:pPr>
    </w:p>
    <w:p w14:paraId="288CC765" w14:textId="73542CBA" w:rsidR="00B71F0B" w:rsidRDefault="00A71A87" w:rsidP="00410D78">
      <w:pPr>
        <w:pStyle w:val="NoSpacing"/>
        <w:numPr>
          <w:ilvl w:val="0"/>
          <w:numId w:val="10"/>
        </w:numPr>
        <w:ind w:left="1080"/>
        <w:rPr>
          <w:rFonts w:ascii="Times New Roman" w:hAnsi="Times New Roman" w:cs="Times New Roman"/>
        </w:rPr>
      </w:pPr>
      <w:r w:rsidRPr="00A4264E">
        <w:rPr>
          <w:rFonts w:ascii="Times New Roman" w:hAnsi="Times New Roman" w:cs="Times New Roman"/>
        </w:rPr>
        <w:t>Tenure at another institution of higher education (</w:t>
      </w:r>
      <w:r w:rsidR="00B17935" w:rsidRPr="00A4264E">
        <w:rPr>
          <w:rFonts w:ascii="Times New Roman" w:hAnsi="Times New Roman" w:cs="Times New Roman"/>
        </w:rPr>
        <w:t>unless</w:t>
      </w:r>
      <w:r w:rsidRPr="00A4264E">
        <w:rPr>
          <w:rFonts w:ascii="Times New Roman" w:hAnsi="Times New Roman" w:cs="Times New Roman"/>
        </w:rPr>
        <w:t xml:space="preserve"> a faculty member holds a visiting rank </w:t>
      </w:r>
      <w:r w:rsidR="00B17935" w:rsidRPr="00A4264E">
        <w:rPr>
          <w:rFonts w:ascii="Times New Roman" w:hAnsi="Times New Roman" w:cs="Times New Roman"/>
        </w:rPr>
        <w:t>here</w:t>
      </w:r>
      <w:r w:rsidR="004405E0" w:rsidRPr="00A4264E">
        <w:rPr>
          <w:rFonts w:ascii="Times New Roman" w:hAnsi="Times New Roman" w:cs="Times New Roman"/>
        </w:rPr>
        <w:t xml:space="preserve">, or if a </w:t>
      </w:r>
      <w:r w:rsidR="00217309" w:rsidRPr="00A4264E">
        <w:rPr>
          <w:rFonts w:ascii="Times New Roman" w:hAnsi="Times New Roman" w:cs="Times New Roman"/>
        </w:rPr>
        <w:t>faculty</w:t>
      </w:r>
      <w:r w:rsidR="004405E0" w:rsidRPr="00A4264E">
        <w:rPr>
          <w:rFonts w:ascii="Times New Roman" w:hAnsi="Times New Roman" w:cs="Times New Roman"/>
        </w:rPr>
        <w:t xml:space="preserve"> member holds emeritus status at another institution</w:t>
      </w:r>
      <w:r w:rsidRPr="00A4264E">
        <w:rPr>
          <w:rFonts w:ascii="Times New Roman" w:hAnsi="Times New Roman" w:cs="Times New Roman"/>
        </w:rPr>
        <w:t>)</w:t>
      </w:r>
      <w:r w:rsidR="00B17935" w:rsidRPr="00A4264E">
        <w:rPr>
          <w:rFonts w:ascii="Times New Roman" w:hAnsi="Times New Roman" w:cs="Times New Roman"/>
        </w:rPr>
        <w:t>.</w:t>
      </w:r>
    </w:p>
    <w:p w14:paraId="7F44E12A" w14:textId="77777777" w:rsidR="00A4264E" w:rsidRPr="00A4264E" w:rsidRDefault="00A4264E" w:rsidP="00A4264E">
      <w:pPr>
        <w:pStyle w:val="NoSpacing"/>
        <w:ind w:left="1080"/>
        <w:rPr>
          <w:rFonts w:ascii="Times New Roman" w:hAnsi="Times New Roman" w:cs="Times New Roman"/>
        </w:rPr>
      </w:pPr>
    </w:p>
    <w:p w14:paraId="57EAF7D0" w14:textId="6D58623C" w:rsidR="00B71F0B" w:rsidRPr="00811E7E" w:rsidRDefault="00B71F0B" w:rsidP="00410D78">
      <w:pPr>
        <w:pStyle w:val="NoSpacing"/>
        <w:rPr>
          <w:rFonts w:ascii="Times New Roman" w:hAnsi="Times New Roman" w:cs="Times New Roman"/>
          <w:b/>
        </w:rPr>
      </w:pPr>
      <w:r w:rsidRPr="00811E7E">
        <w:rPr>
          <w:rFonts w:ascii="Times New Roman" w:hAnsi="Times New Roman" w:cs="Times New Roman"/>
          <w:b/>
        </w:rPr>
        <w:t>Approval process</w:t>
      </w:r>
    </w:p>
    <w:p w14:paraId="665D28A7" w14:textId="1EED8415" w:rsidR="00B71F0B" w:rsidRPr="00811E7E" w:rsidRDefault="00B71F0B" w:rsidP="00410D78">
      <w:pPr>
        <w:pStyle w:val="NoSpacing"/>
        <w:rPr>
          <w:rFonts w:ascii="Times New Roman" w:hAnsi="Times New Roman" w:cs="Times New Roman"/>
        </w:rPr>
      </w:pPr>
    </w:p>
    <w:p w14:paraId="18F0E54F" w14:textId="6CCE93B7" w:rsidR="00B71F0B" w:rsidRPr="00811E7E" w:rsidRDefault="00DA56F6" w:rsidP="00876A9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</w:t>
      </w:r>
      <w:r w:rsidR="00B71F0B" w:rsidRPr="00811E7E">
        <w:rPr>
          <w:rFonts w:ascii="Times New Roman" w:hAnsi="Times New Roman" w:cs="Times New Roman"/>
        </w:rPr>
        <w:t xml:space="preserve"> </w:t>
      </w:r>
      <w:r w:rsidR="003E4E9E" w:rsidRPr="00811E7E">
        <w:rPr>
          <w:rFonts w:ascii="Times New Roman" w:hAnsi="Times New Roman" w:cs="Times New Roman"/>
        </w:rPr>
        <w:t xml:space="preserve">will </w:t>
      </w:r>
      <w:r w:rsidR="00876A96" w:rsidRPr="00811E7E">
        <w:rPr>
          <w:rFonts w:ascii="Times New Roman" w:hAnsi="Times New Roman" w:cs="Times New Roman"/>
        </w:rPr>
        <w:t>request in writing to the budget administrator permission to pursue activities that may appear to create a conflict of commitment.</w:t>
      </w:r>
    </w:p>
    <w:p w14:paraId="20B73AE9" w14:textId="1B996657" w:rsidR="00B71F0B" w:rsidRPr="00811E7E" w:rsidRDefault="00876A96" w:rsidP="00876A9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T</w:t>
      </w:r>
      <w:r w:rsidR="003E4E9E" w:rsidRPr="00811E7E">
        <w:rPr>
          <w:rFonts w:ascii="Times New Roman" w:hAnsi="Times New Roman" w:cs="Times New Roman"/>
        </w:rPr>
        <w:t xml:space="preserve">he budget administrator </w:t>
      </w:r>
      <w:r w:rsidR="005D3224" w:rsidRPr="00811E7E">
        <w:rPr>
          <w:rFonts w:ascii="Times New Roman" w:hAnsi="Times New Roman" w:cs="Times New Roman"/>
        </w:rPr>
        <w:t xml:space="preserve">(school director/department head) </w:t>
      </w:r>
      <w:r w:rsidR="003E4E9E" w:rsidRPr="00811E7E">
        <w:rPr>
          <w:rFonts w:ascii="Times New Roman" w:hAnsi="Times New Roman" w:cs="Times New Roman"/>
        </w:rPr>
        <w:t xml:space="preserve">will respond to the </w:t>
      </w:r>
      <w:r w:rsidR="00A26455">
        <w:rPr>
          <w:rFonts w:ascii="Times New Roman" w:hAnsi="Times New Roman" w:cs="Times New Roman"/>
        </w:rPr>
        <w:t>faculty’</w:t>
      </w:r>
      <w:r w:rsidR="003E4E9E" w:rsidRPr="00811E7E">
        <w:rPr>
          <w:rFonts w:ascii="Times New Roman" w:hAnsi="Times New Roman" w:cs="Times New Roman"/>
        </w:rPr>
        <w:t>s request, in writing</w:t>
      </w:r>
      <w:r w:rsidR="00641A42" w:rsidRPr="00811E7E">
        <w:rPr>
          <w:rFonts w:ascii="Times New Roman" w:hAnsi="Times New Roman" w:cs="Times New Roman"/>
        </w:rPr>
        <w:t>, with notification to the dean</w:t>
      </w:r>
      <w:r w:rsidR="00811E7E" w:rsidRPr="00811E7E">
        <w:rPr>
          <w:rFonts w:ascii="Times New Roman" w:hAnsi="Times New Roman" w:cs="Times New Roman"/>
        </w:rPr>
        <w:t xml:space="preserve"> and the HR office</w:t>
      </w:r>
      <w:r w:rsidRPr="00811E7E">
        <w:rPr>
          <w:rFonts w:ascii="Times New Roman" w:hAnsi="Times New Roman" w:cs="Times New Roman"/>
        </w:rPr>
        <w:t>.</w:t>
      </w:r>
    </w:p>
    <w:p w14:paraId="1917ACBC" w14:textId="28B53715" w:rsidR="00CB3247" w:rsidRPr="00811E7E" w:rsidRDefault="00CB3247" w:rsidP="00B71F0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Unless the dean chooses to overturn the school director</w:t>
      </w:r>
      <w:r w:rsidR="00F77BAB">
        <w:rPr>
          <w:rFonts w:ascii="Times New Roman" w:hAnsi="Times New Roman" w:cs="Times New Roman"/>
        </w:rPr>
        <w:t xml:space="preserve"> or department head</w:t>
      </w:r>
      <w:r w:rsidRPr="00811E7E">
        <w:rPr>
          <w:rFonts w:ascii="Times New Roman" w:hAnsi="Times New Roman" w:cs="Times New Roman"/>
        </w:rPr>
        <w:t>’s recommendation, that decision will stand</w:t>
      </w:r>
      <w:r w:rsidR="00B17935" w:rsidRPr="00811E7E">
        <w:rPr>
          <w:rFonts w:ascii="Times New Roman" w:hAnsi="Times New Roman" w:cs="Times New Roman"/>
        </w:rPr>
        <w:t>.</w:t>
      </w:r>
    </w:p>
    <w:p w14:paraId="08A11F46" w14:textId="72BD7D8C" w:rsidR="003E4E9E" w:rsidRPr="00811E7E" w:rsidRDefault="003E4E9E" w:rsidP="00B71F0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If permission is granted to engage in the activity, permission is granted only for the activity requested. Permission is not granted for all instances moving forward</w:t>
      </w:r>
      <w:r w:rsidR="00876A96" w:rsidRPr="00811E7E">
        <w:rPr>
          <w:rFonts w:ascii="Times New Roman" w:hAnsi="Times New Roman" w:cs="Times New Roman"/>
        </w:rPr>
        <w:t>.</w:t>
      </w:r>
    </w:p>
    <w:p w14:paraId="3557817B" w14:textId="77777777" w:rsidR="00A71A87" w:rsidRPr="00811E7E" w:rsidRDefault="00A71A87" w:rsidP="00410D78">
      <w:pPr>
        <w:pStyle w:val="NoSpacing"/>
        <w:rPr>
          <w:rFonts w:ascii="Times New Roman" w:hAnsi="Times New Roman" w:cs="Times New Roman"/>
        </w:rPr>
      </w:pPr>
    </w:p>
    <w:p w14:paraId="57D5C784" w14:textId="52E0B65E" w:rsidR="007C2D52" w:rsidRPr="00811E7E" w:rsidRDefault="007C2D52" w:rsidP="007C2D52">
      <w:pPr>
        <w:pStyle w:val="NoSpacing"/>
        <w:rPr>
          <w:rFonts w:ascii="Times New Roman" w:hAnsi="Times New Roman" w:cs="Times New Roman"/>
          <w:u w:val="single"/>
        </w:rPr>
      </w:pPr>
      <w:r w:rsidRPr="00811E7E">
        <w:rPr>
          <w:rFonts w:ascii="Times New Roman" w:hAnsi="Times New Roman" w:cs="Times New Roman"/>
          <w:u w:val="single"/>
        </w:rPr>
        <w:t>Policies to cross reference include;</w:t>
      </w:r>
    </w:p>
    <w:p w14:paraId="37AF8429" w14:textId="77777777" w:rsidR="00A71A87" w:rsidRPr="00811E7E" w:rsidRDefault="00A71A87" w:rsidP="007C2D52">
      <w:pPr>
        <w:pStyle w:val="NoSpacing"/>
        <w:rPr>
          <w:rFonts w:ascii="Times New Roman" w:hAnsi="Times New Roman" w:cs="Times New Roman"/>
        </w:rPr>
      </w:pPr>
    </w:p>
    <w:p w14:paraId="3D7EED31" w14:textId="2F808B2F" w:rsidR="006919B6" w:rsidRDefault="006919B6" w:rsidP="007C2D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AC80 </w:t>
      </w:r>
      <w:r w:rsidR="00326A7A">
        <w:rPr>
          <w:rFonts w:ascii="Times New Roman" w:hAnsi="Times New Roman" w:cs="Times New Roman"/>
        </w:rPr>
        <w:t>- Faculty</w:t>
      </w:r>
      <w:r w:rsidR="00B52ABD">
        <w:rPr>
          <w:rFonts w:ascii="Times New Roman" w:hAnsi="Times New Roman" w:cs="Times New Roman"/>
        </w:rPr>
        <w:t xml:space="preserve"> Outside Professional Activities and Conflict of Commitment</w:t>
      </w:r>
    </w:p>
    <w:p w14:paraId="3F53E5C0" w14:textId="0894549E" w:rsidR="007C2D52" w:rsidRPr="00811E7E" w:rsidRDefault="007C2D52" w:rsidP="007C2D52">
      <w:pPr>
        <w:pStyle w:val="NoSpacing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A</w:t>
      </w:r>
      <w:r w:rsidR="00A26455">
        <w:rPr>
          <w:rFonts w:ascii="Times New Roman" w:hAnsi="Times New Roman" w:cs="Times New Roman"/>
        </w:rPr>
        <w:t>D77</w:t>
      </w:r>
      <w:r w:rsidR="005E65D4">
        <w:rPr>
          <w:rFonts w:ascii="Times New Roman" w:hAnsi="Times New Roman" w:cs="Times New Roman"/>
        </w:rPr>
        <w:t xml:space="preserve"> – Engaging in Outside Professional Activities (Conflict of Commitment)</w:t>
      </w:r>
    </w:p>
    <w:p w14:paraId="10A1C594" w14:textId="77777777" w:rsidR="007C2D52" w:rsidRPr="00811E7E" w:rsidRDefault="007C2D52" w:rsidP="007C2D52">
      <w:pPr>
        <w:pStyle w:val="NoSpacing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AD07 – Use of University Name, Symbols, and/or Graphic Devices</w:t>
      </w:r>
    </w:p>
    <w:p w14:paraId="2925758A" w14:textId="5837C808" w:rsidR="007C2D52" w:rsidRPr="00811E7E" w:rsidRDefault="007C2D52" w:rsidP="007C2D52">
      <w:pPr>
        <w:pStyle w:val="NoSpacing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A</w:t>
      </w:r>
      <w:r w:rsidR="00F44270">
        <w:rPr>
          <w:rFonts w:ascii="Times New Roman" w:hAnsi="Times New Roman" w:cs="Times New Roman"/>
        </w:rPr>
        <w:t>C</w:t>
      </w:r>
      <w:r w:rsidRPr="00811E7E">
        <w:rPr>
          <w:rFonts w:ascii="Times New Roman" w:hAnsi="Times New Roman" w:cs="Times New Roman"/>
        </w:rPr>
        <w:t>47 – General Standards of Professional Ethics</w:t>
      </w:r>
    </w:p>
    <w:p w14:paraId="23FA666C" w14:textId="77777777" w:rsidR="00277334" w:rsidRDefault="007C2D52" w:rsidP="00277334">
      <w:pPr>
        <w:pStyle w:val="NoSpacing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 xml:space="preserve">FN14 – Use of University Tangible </w:t>
      </w:r>
      <w:r w:rsidR="0008418C">
        <w:rPr>
          <w:rFonts w:ascii="Times New Roman" w:hAnsi="Times New Roman" w:cs="Times New Roman"/>
        </w:rPr>
        <w:t xml:space="preserve">Non-Capital Property, Capital Property, </w:t>
      </w:r>
      <w:r w:rsidR="00277334">
        <w:rPr>
          <w:rFonts w:ascii="Times New Roman" w:hAnsi="Times New Roman" w:cs="Times New Roman"/>
        </w:rPr>
        <w:t>Supplies, and University</w:t>
      </w:r>
    </w:p>
    <w:p w14:paraId="1D1B0082" w14:textId="583808B0" w:rsidR="007C2D52" w:rsidRPr="00811E7E" w:rsidRDefault="00277334" w:rsidP="00277334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</w:t>
      </w:r>
    </w:p>
    <w:p w14:paraId="2FEF38BE" w14:textId="78B21E67" w:rsidR="007C2D52" w:rsidRPr="00811E7E" w:rsidRDefault="007C2D52" w:rsidP="007C2D52">
      <w:pPr>
        <w:pStyle w:val="NoSpacing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HR35 – Public Service by Member</w:t>
      </w:r>
      <w:r w:rsidR="00277334">
        <w:rPr>
          <w:rFonts w:ascii="Times New Roman" w:hAnsi="Times New Roman" w:cs="Times New Roman"/>
        </w:rPr>
        <w:t>s</w:t>
      </w:r>
      <w:r w:rsidRPr="00811E7E">
        <w:rPr>
          <w:rFonts w:ascii="Times New Roman" w:hAnsi="Times New Roman" w:cs="Times New Roman"/>
        </w:rPr>
        <w:t xml:space="preserve"> of the Faculty and Staff</w:t>
      </w:r>
    </w:p>
    <w:p w14:paraId="0760AFBD" w14:textId="77777777" w:rsidR="007C2D52" w:rsidRPr="00811E7E" w:rsidRDefault="007C2D52" w:rsidP="007C2D52">
      <w:pPr>
        <w:pStyle w:val="NoSpacing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HR42 – Payment of Personal Compensation by a State Agency or Department of the Commonwealth</w:t>
      </w:r>
    </w:p>
    <w:p w14:paraId="2342898E" w14:textId="77777777" w:rsidR="007C2D52" w:rsidRPr="00811E7E" w:rsidRDefault="007C2D52" w:rsidP="007C2D52">
      <w:pPr>
        <w:pStyle w:val="NoSpacing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HR91 – Conflict of Interest</w:t>
      </w:r>
    </w:p>
    <w:p w14:paraId="4AA3C049" w14:textId="77777777" w:rsidR="007C2D52" w:rsidRPr="00811E7E" w:rsidRDefault="007C2D52" w:rsidP="007C2D52">
      <w:pPr>
        <w:pStyle w:val="NoSpacing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IP06 – Technology Transfer &amp; Entrepreneurial Activity (Faculty Research)</w:t>
      </w:r>
    </w:p>
    <w:p w14:paraId="0714971A" w14:textId="132A5067" w:rsidR="007C2D52" w:rsidRPr="00811E7E" w:rsidRDefault="007C2D52" w:rsidP="007C2D52">
      <w:pPr>
        <w:pStyle w:val="NoSpacing"/>
        <w:rPr>
          <w:rFonts w:ascii="Times New Roman" w:hAnsi="Times New Roman" w:cs="Times New Roman"/>
        </w:rPr>
      </w:pPr>
      <w:r w:rsidRPr="00811E7E">
        <w:rPr>
          <w:rFonts w:ascii="Times New Roman" w:hAnsi="Times New Roman" w:cs="Times New Roman"/>
        </w:rPr>
        <w:t>RP06 – Disclosure and Management of Significant Financial Interests</w:t>
      </w:r>
      <w:r w:rsidR="006D6302">
        <w:rPr>
          <w:rFonts w:ascii="Times New Roman" w:hAnsi="Times New Roman" w:cs="Times New Roman"/>
        </w:rPr>
        <w:t xml:space="preserve"> </w:t>
      </w:r>
    </w:p>
    <w:p w14:paraId="594212F3" w14:textId="56DDE7AA" w:rsidR="001E1F7F" w:rsidRPr="00811E7E" w:rsidRDefault="001E1F7F" w:rsidP="007C2D52">
      <w:pPr>
        <w:pStyle w:val="NoSpacing"/>
        <w:rPr>
          <w:rFonts w:ascii="Times New Roman" w:hAnsi="Times New Roman" w:cs="Times New Roman"/>
        </w:rPr>
      </w:pPr>
    </w:p>
    <w:p w14:paraId="674CA924" w14:textId="3580777A" w:rsidR="00695E6E" w:rsidRPr="00811E7E" w:rsidRDefault="00695E6E" w:rsidP="007C2D52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12.5.22 </w:t>
      </w:r>
      <w:r w:rsidR="00477B09">
        <w:rPr>
          <w:rFonts w:ascii="Times New Roman" w:hAnsi="Times New Roman" w:cs="Times New Roman"/>
          <w:i/>
        </w:rPr>
        <w:t>Developed in consultation with Arts and Architecture Executive Team</w:t>
      </w:r>
    </w:p>
    <w:sectPr w:rsidR="00695E6E" w:rsidRPr="00811E7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143B" w14:textId="77777777" w:rsidR="00FF16CA" w:rsidRDefault="00FF16CA" w:rsidP="007E739F">
      <w:pPr>
        <w:spacing w:after="0" w:line="240" w:lineRule="auto"/>
      </w:pPr>
      <w:r>
        <w:separator/>
      </w:r>
    </w:p>
  </w:endnote>
  <w:endnote w:type="continuationSeparator" w:id="0">
    <w:p w14:paraId="25C8FC30" w14:textId="77777777" w:rsidR="00FF16CA" w:rsidRDefault="00FF16CA" w:rsidP="007E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19F5" w14:textId="77777777" w:rsidR="00FF16CA" w:rsidRDefault="00FF16CA" w:rsidP="007E739F">
      <w:pPr>
        <w:spacing w:after="0" w:line="240" w:lineRule="auto"/>
      </w:pPr>
      <w:r>
        <w:separator/>
      </w:r>
    </w:p>
  </w:footnote>
  <w:footnote w:type="continuationSeparator" w:id="0">
    <w:p w14:paraId="05FE9DBB" w14:textId="77777777" w:rsidR="00FF16CA" w:rsidRDefault="00FF16CA" w:rsidP="007E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962E" w14:textId="732BDD59" w:rsidR="007E739F" w:rsidRDefault="007E7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1523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0C2395" w14:textId="5538B3E3" w:rsidR="00A228BE" w:rsidRDefault="00A228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198E27" w14:textId="74D79FE8" w:rsidR="007E739F" w:rsidRDefault="007E7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9374" w14:textId="5386BDCA" w:rsidR="007E739F" w:rsidRDefault="007E7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213"/>
    <w:multiLevelType w:val="hybridMultilevel"/>
    <w:tmpl w:val="D0B43D76"/>
    <w:lvl w:ilvl="0" w:tplc="16DA0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4D8F"/>
    <w:multiLevelType w:val="hybridMultilevel"/>
    <w:tmpl w:val="ABA0B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F7616"/>
    <w:multiLevelType w:val="hybridMultilevel"/>
    <w:tmpl w:val="D4FEAC68"/>
    <w:lvl w:ilvl="0" w:tplc="E3387F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21002"/>
    <w:multiLevelType w:val="hybridMultilevel"/>
    <w:tmpl w:val="6B260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5C13"/>
    <w:multiLevelType w:val="hybridMultilevel"/>
    <w:tmpl w:val="DF3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07C4A"/>
    <w:multiLevelType w:val="hybridMultilevel"/>
    <w:tmpl w:val="F94E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50F7D"/>
    <w:multiLevelType w:val="hybridMultilevel"/>
    <w:tmpl w:val="923EE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2BBE"/>
    <w:multiLevelType w:val="hybridMultilevel"/>
    <w:tmpl w:val="1E82ADBC"/>
    <w:lvl w:ilvl="0" w:tplc="25AEF7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C328F"/>
    <w:multiLevelType w:val="hybridMultilevel"/>
    <w:tmpl w:val="5C26A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207B0"/>
    <w:multiLevelType w:val="hybridMultilevel"/>
    <w:tmpl w:val="27065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D326F"/>
    <w:multiLevelType w:val="hybridMultilevel"/>
    <w:tmpl w:val="2FC6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10B"/>
    <w:multiLevelType w:val="hybridMultilevel"/>
    <w:tmpl w:val="53C88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23D6"/>
    <w:multiLevelType w:val="hybridMultilevel"/>
    <w:tmpl w:val="9C9C82E4"/>
    <w:lvl w:ilvl="0" w:tplc="6C6244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D0F26"/>
    <w:multiLevelType w:val="hybridMultilevel"/>
    <w:tmpl w:val="51C2D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727"/>
    <w:multiLevelType w:val="hybridMultilevel"/>
    <w:tmpl w:val="9E300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200383">
    <w:abstractNumId w:val="12"/>
  </w:num>
  <w:num w:numId="2" w16cid:durableId="885095452">
    <w:abstractNumId w:val="14"/>
  </w:num>
  <w:num w:numId="3" w16cid:durableId="1728334562">
    <w:abstractNumId w:val="0"/>
  </w:num>
  <w:num w:numId="4" w16cid:durableId="1490362317">
    <w:abstractNumId w:val="2"/>
  </w:num>
  <w:num w:numId="5" w16cid:durableId="1056588613">
    <w:abstractNumId w:val="13"/>
  </w:num>
  <w:num w:numId="6" w16cid:durableId="1959990794">
    <w:abstractNumId w:val="11"/>
  </w:num>
  <w:num w:numId="7" w16cid:durableId="790901904">
    <w:abstractNumId w:val="8"/>
  </w:num>
  <w:num w:numId="8" w16cid:durableId="102119632">
    <w:abstractNumId w:val="7"/>
  </w:num>
  <w:num w:numId="9" w16cid:durableId="467238218">
    <w:abstractNumId w:val="6"/>
  </w:num>
  <w:num w:numId="10" w16cid:durableId="79497478">
    <w:abstractNumId w:val="4"/>
  </w:num>
  <w:num w:numId="11" w16cid:durableId="792333609">
    <w:abstractNumId w:val="10"/>
  </w:num>
  <w:num w:numId="12" w16cid:durableId="152527850">
    <w:abstractNumId w:val="1"/>
  </w:num>
  <w:num w:numId="13" w16cid:durableId="97453505">
    <w:abstractNumId w:val="3"/>
  </w:num>
  <w:num w:numId="14" w16cid:durableId="1405451914">
    <w:abstractNumId w:val="5"/>
  </w:num>
  <w:num w:numId="15" w16cid:durableId="17179225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6F"/>
    <w:rsid w:val="000008A9"/>
    <w:rsid w:val="000715E1"/>
    <w:rsid w:val="0008418C"/>
    <w:rsid w:val="00164428"/>
    <w:rsid w:val="001B3403"/>
    <w:rsid w:val="001E0406"/>
    <w:rsid w:val="001E1F7F"/>
    <w:rsid w:val="00217309"/>
    <w:rsid w:val="002316BD"/>
    <w:rsid w:val="00237B35"/>
    <w:rsid w:val="002421CD"/>
    <w:rsid w:val="00277334"/>
    <w:rsid w:val="002A1C31"/>
    <w:rsid w:val="002B2C1D"/>
    <w:rsid w:val="002E497E"/>
    <w:rsid w:val="0030034E"/>
    <w:rsid w:val="00326A7A"/>
    <w:rsid w:val="003B2D7B"/>
    <w:rsid w:val="003D502A"/>
    <w:rsid w:val="003D5F45"/>
    <w:rsid w:val="003E4E9E"/>
    <w:rsid w:val="003E661F"/>
    <w:rsid w:val="003F1B64"/>
    <w:rsid w:val="00410D78"/>
    <w:rsid w:val="004405E0"/>
    <w:rsid w:val="00443941"/>
    <w:rsid w:val="0044527A"/>
    <w:rsid w:val="004555F4"/>
    <w:rsid w:val="00477B09"/>
    <w:rsid w:val="00481B37"/>
    <w:rsid w:val="004E6726"/>
    <w:rsid w:val="004F68FF"/>
    <w:rsid w:val="005208C3"/>
    <w:rsid w:val="005276E0"/>
    <w:rsid w:val="00553F48"/>
    <w:rsid w:val="0057291C"/>
    <w:rsid w:val="0059249F"/>
    <w:rsid w:val="0059387F"/>
    <w:rsid w:val="005A7ADB"/>
    <w:rsid w:val="005D3224"/>
    <w:rsid w:val="005E36D0"/>
    <w:rsid w:val="005E65D4"/>
    <w:rsid w:val="00627419"/>
    <w:rsid w:val="00641A42"/>
    <w:rsid w:val="00644FD5"/>
    <w:rsid w:val="006919B6"/>
    <w:rsid w:val="00695E6E"/>
    <w:rsid w:val="006A63E7"/>
    <w:rsid w:val="006D6302"/>
    <w:rsid w:val="00765A75"/>
    <w:rsid w:val="00770115"/>
    <w:rsid w:val="007C2D52"/>
    <w:rsid w:val="007D0034"/>
    <w:rsid w:val="007E2AD4"/>
    <w:rsid w:val="007E35B1"/>
    <w:rsid w:val="007E739F"/>
    <w:rsid w:val="00811E7E"/>
    <w:rsid w:val="00826F12"/>
    <w:rsid w:val="00876A96"/>
    <w:rsid w:val="00881CC9"/>
    <w:rsid w:val="0088619D"/>
    <w:rsid w:val="008915FD"/>
    <w:rsid w:val="00892D0B"/>
    <w:rsid w:val="008D0E79"/>
    <w:rsid w:val="008D3FB4"/>
    <w:rsid w:val="008E713F"/>
    <w:rsid w:val="0092277C"/>
    <w:rsid w:val="00935766"/>
    <w:rsid w:val="009D04A6"/>
    <w:rsid w:val="00A00E9F"/>
    <w:rsid w:val="00A01F86"/>
    <w:rsid w:val="00A15254"/>
    <w:rsid w:val="00A228BE"/>
    <w:rsid w:val="00A26455"/>
    <w:rsid w:val="00A3782E"/>
    <w:rsid w:val="00A4264E"/>
    <w:rsid w:val="00A575F4"/>
    <w:rsid w:val="00A71A87"/>
    <w:rsid w:val="00A93272"/>
    <w:rsid w:val="00AA3212"/>
    <w:rsid w:val="00AB15C6"/>
    <w:rsid w:val="00AB3468"/>
    <w:rsid w:val="00B1030F"/>
    <w:rsid w:val="00B10F55"/>
    <w:rsid w:val="00B17935"/>
    <w:rsid w:val="00B34713"/>
    <w:rsid w:val="00B52ABD"/>
    <w:rsid w:val="00B60B5B"/>
    <w:rsid w:val="00B71F0B"/>
    <w:rsid w:val="00B73171"/>
    <w:rsid w:val="00BB04F2"/>
    <w:rsid w:val="00BC5334"/>
    <w:rsid w:val="00BE203E"/>
    <w:rsid w:val="00C00F28"/>
    <w:rsid w:val="00C406ED"/>
    <w:rsid w:val="00C6225D"/>
    <w:rsid w:val="00C66C80"/>
    <w:rsid w:val="00C94B64"/>
    <w:rsid w:val="00CB3247"/>
    <w:rsid w:val="00D15315"/>
    <w:rsid w:val="00D850D1"/>
    <w:rsid w:val="00D916F1"/>
    <w:rsid w:val="00D91E1A"/>
    <w:rsid w:val="00D95046"/>
    <w:rsid w:val="00DA56F6"/>
    <w:rsid w:val="00DC4711"/>
    <w:rsid w:val="00E03458"/>
    <w:rsid w:val="00E4607B"/>
    <w:rsid w:val="00E53414"/>
    <w:rsid w:val="00E71B3C"/>
    <w:rsid w:val="00EA6894"/>
    <w:rsid w:val="00EE3F6F"/>
    <w:rsid w:val="00EF7422"/>
    <w:rsid w:val="00F16B56"/>
    <w:rsid w:val="00F35A85"/>
    <w:rsid w:val="00F44270"/>
    <w:rsid w:val="00F77BAB"/>
    <w:rsid w:val="00F958E0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0CD78"/>
  <w15:chartTrackingRefBased/>
  <w15:docId w15:val="{233ABB05-3972-44E0-9BD0-7D2D12C2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F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9F"/>
  </w:style>
  <w:style w:type="paragraph" w:styleId="Footer">
    <w:name w:val="footer"/>
    <w:basedOn w:val="Normal"/>
    <w:link w:val="FooterChar"/>
    <w:uiPriority w:val="99"/>
    <w:unhideWhenUsed/>
    <w:rsid w:val="007E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9F"/>
  </w:style>
  <w:style w:type="character" w:customStyle="1" w:styleId="policy-field-item">
    <w:name w:val="policy-field-item"/>
    <w:basedOn w:val="DefaultParagraphFont"/>
    <w:rsid w:val="0059249F"/>
  </w:style>
  <w:style w:type="paragraph" w:styleId="BalloonText">
    <w:name w:val="Balloon Text"/>
    <w:basedOn w:val="Normal"/>
    <w:link w:val="BalloonTextChar"/>
    <w:uiPriority w:val="99"/>
    <w:semiHidden/>
    <w:unhideWhenUsed/>
    <w:rsid w:val="00644FD5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D5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4F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F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F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F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8192-FFDB-4BD4-8BA1-ECD1B4A8C0E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Jr., Gerald Kenneth</dc:creator>
  <cp:keywords/>
  <dc:description/>
  <cp:lastModifiedBy>Curry Morgan, Jennifer</cp:lastModifiedBy>
  <cp:revision>27</cp:revision>
  <cp:lastPrinted>2019-09-18T19:45:00Z</cp:lastPrinted>
  <dcterms:created xsi:type="dcterms:W3CDTF">2022-12-05T19:45:00Z</dcterms:created>
  <dcterms:modified xsi:type="dcterms:W3CDTF">2022-12-05T20:10:00Z</dcterms:modified>
</cp:coreProperties>
</file>